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as4poj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OCCUPATIONAL HEALTH AND SAFETY COMMITTEE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its employees' health and well-being. To that end, [Organization Name] will follow all provincially enacted legislation applicable to the province of Saskatchewan, as defined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WorkSafeSASK. Additionally, [Organization Name] acknowledges that as an employer, it bears primary responsibility for health and safety on its premises.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[Organization Name] has a workforce of more than 10 employees, the company will establish an Occupational Health Committee (OHC).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is required to establish and maintain an OHC. It will have between two and twelve members, at least half of whom will be non-management employees.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appoints employer members; they cannot outnumber employee members.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 will include a diverse range of workers from across different departments and levels of employment.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Selection of OHC Members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Workers must elect their committee members. Each committee will have two co-chairs, one chosen by employers, and one chosen by workers. Co-chairs have the same rights and obligations as other members, including the authority to convene and chair meetings.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serve 3-year terms and are eligible to serve more than once. Ensure that the OHC always has a balanced representation of experienced and new members.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committee co-chairs are trained in the duties and responsibilities of OHC members. Each year, members of the committee may take 5 days of education leave for occupational health and safety training. Training time will be treated as compensated work time.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Duties of the Occupational Health Committee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Several of the responsibilities of the OHC include the following: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[Organization Name] in identifying, eliminating, or reducing hazards;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Advising [Organization Name] on ways to improve workplace health and safety;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Speaking with employees about health and safety concerns and assisting them in resolving them;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Receiving and disseminating information, including publications from the OHS Division;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routine inspections of the workplace;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investigations into reportable incidents (accidents and dangerous occurrences); Assisting in the development and promotion of health and safety programs, policies, and training;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investigations into employee refusals to work; and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[Organization Name] in adhering to OHS regulations.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OHC's role is to advise and recommend ways to eliminate hazards to the employer.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required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will comply with the following when working with an OHC: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 and cooperate with the OHC; Address the OHC's concerns or recommendations; and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 the OHC in writing of the action(s) they took or will take to correct the hazard(s) or if [Organization Name] has not taken action, the reasons for not taking action.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Meetings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will meet once a month. The first meeting elects co-chairs.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committee meeting must have a quorum: A minimum of half of all OHC members must be present; a minimum of half of all OHC members must be workers; a minimum of one management member must be present.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and employees should elect "alternate" OHC members to ensure that each OHC meeting has a quorum.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provide all OHC members with paid time off from their regular job duties to attend and prepare for meetings.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is required to record the minutes of each meeting in a format provided by the division and keep them on file with the committee.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must post a copy of the minutes in a location readily accessible to workers at their place of employment until all concerns documented in the minutes are resolved.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keep a copy of the minutes and make them readily available for inspection by a committee member or occupational health officer.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SLNtB2D95uf3h89/8nriyevTQ==">CgMxLjAyCWguM2FzNHBvajgAciExci1hMGl6TnJ3RGdPNGViUHNDaERuV3VzOHNVak1OMHM=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